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D4A1E8" w14:textId="4C9D8668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 w:rsidR="00C45E96">
        <w:rPr>
          <w:bCs/>
          <w:szCs w:val="24"/>
          <w:lang w:eastAsia="ja-JP"/>
        </w:rPr>
        <w:t>#11</w:t>
      </w:r>
      <w:r w:rsidR="00A0438D">
        <w:rPr>
          <w:bCs/>
          <w:szCs w:val="24"/>
          <w:lang w:eastAsia="ja-JP"/>
        </w:rPr>
        <w:t>7</w:t>
      </w:r>
      <w:r w:rsidR="009D0193" w:rsidRPr="009470B1">
        <w:rPr>
          <w:sz w:val="28"/>
          <w:lang w:val="en-US"/>
        </w:rPr>
        <w:tab/>
      </w:r>
      <w:r w:rsidR="00CC2C9B" w:rsidRPr="00CC2C9B">
        <w:rPr>
          <w:sz w:val="28"/>
          <w:lang w:val="en-US"/>
        </w:rPr>
        <w:t>R2-2203803</w:t>
      </w:r>
    </w:p>
    <w:p w14:paraId="6716CC4D" w14:textId="11E6FEBC" w:rsidR="00C45E96" w:rsidRDefault="00A0438D" w:rsidP="00C45E96">
      <w:pPr>
        <w:pStyle w:val="3GPPHeader"/>
        <w:spacing w:after="0"/>
        <w:rPr>
          <w:bCs/>
          <w:noProof/>
          <w:szCs w:val="24"/>
          <w:lang w:eastAsia="ja-JP"/>
        </w:rPr>
      </w:pPr>
      <w:r w:rsidRPr="00A0438D">
        <w:rPr>
          <w:rFonts w:eastAsia="Times New Roman"/>
          <w:bCs/>
          <w:noProof/>
          <w:szCs w:val="24"/>
          <w:lang w:eastAsia="ja-JP"/>
        </w:rPr>
        <w:t>eMeeting, 21</w:t>
      </w:r>
      <w:r w:rsidRPr="00A0438D">
        <w:rPr>
          <w:rFonts w:eastAsia="Times New Roman"/>
          <w:bCs/>
          <w:noProof/>
          <w:szCs w:val="24"/>
          <w:vertAlign w:val="superscript"/>
          <w:lang w:eastAsia="ja-JP"/>
        </w:rPr>
        <w:t>st</w:t>
      </w:r>
      <w:r>
        <w:rPr>
          <w:rFonts w:eastAsia="Times New Roman"/>
          <w:bCs/>
          <w:noProof/>
          <w:szCs w:val="24"/>
          <w:lang w:eastAsia="ja-JP"/>
        </w:rPr>
        <w:t xml:space="preserve"> </w:t>
      </w:r>
      <w:r w:rsidRPr="00A0438D">
        <w:rPr>
          <w:rFonts w:eastAsia="Times New Roman"/>
          <w:bCs/>
          <w:noProof/>
          <w:szCs w:val="24"/>
          <w:lang w:eastAsia="ja-JP"/>
        </w:rPr>
        <w:t>February - 3</w:t>
      </w:r>
      <w:r w:rsidRPr="00A0438D">
        <w:rPr>
          <w:rFonts w:eastAsia="Times New Roman"/>
          <w:bCs/>
          <w:noProof/>
          <w:szCs w:val="24"/>
          <w:vertAlign w:val="superscript"/>
          <w:lang w:eastAsia="ja-JP"/>
        </w:rPr>
        <w:t>rd</w:t>
      </w:r>
      <w:r>
        <w:rPr>
          <w:rFonts w:eastAsia="Times New Roman"/>
          <w:bCs/>
          <w:noProof/>
          <w:szCs w:val="24"/>
          <w:lang w:eastAsia="ja-JP"/>
        </w:rPr>
        <w:t xml:space="preserve"> </w:t>
      </w:r>
      <w:r w:rsidRPr="00A0438D">
        <w:rPr>
          <w:rFonts w:eastAsia="Times New Roman"/>
          <w:bCs/>
          <w:noProof/>
          <w:szCs w:val="24"/>
          <w:lang w:eastAsia="ja-JP"/>
        </w:rPr>
        <w:t>March, 2022</w:t>
      </w:r>
    </w:p>
    <w:bookmarkEnd w:id="0"/>
    <w:p w14:paraId="7C20F13A" w14:textId="77777777" w:rsidR="00411D52" w:rsidRDefault="00411D52" w:rsidP="008535BD">
      <w:pPr>
        <w:spacing w:after="60"/>
        <w:rPr>
          <w:rFonts w:ascii="Arial" w:hAnsi="Arial" w:cs="Arial"/>
          <w:b/>
        </w:rPr>
      </w:pPr>
    </w:p>
    <w:p w14:paraId="16D337FB" w14:textId="7E1914D1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_Hlk498658540"/>
      <w:r w:rsidRPr="007B66B0">
        <w:rPr>
          <w:rFonts w:ascii="Arial" w:hAnsi="Arial" w:cs="Arial"/>
          <w:bCs/>
        </w:rPr>
        <w:t xml:space="preserve">LS </w:t>
      </w:r>
      <w:r w:rsidR="00E77002">
        <w:rPr>
          <w:rFonts w:ascii="Arial" w:hAnsi="Arial" w:cs="Arial"/>
        </w:rPr>
        <w:t>on</w:t>
      </w:r>
      <w:r w:rsidR="00A72F81">
        <w:rPr>
          <w:rFonts w:ascii="Arial" w:hAnsi="Arial" w:cs="Arial"/>
        </w:rPr>
        <w:t xml:space="preserve"> </w:t>
      </w:r>
      <w:bookmarkEnd w:id="3"/>
      <w:r w:rsidR="00CC2C9B" w:rsidRPr="00CC2C9B">
        <w:rPr>
          <w:rFonts w:ascii="Arial" w:hAnsi="Arial" w:cs="Arial"/>
        </w:rPr>
        <w:t>TCI state indication</w:t>
      </w:r>
    </w:p>
    <w:p w14:paraId="4B0E0845" w14:textId="255D82BE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2"/>
    </w:p>
    <w:p w14:paraId="4017600A" w14:textId="7837D229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CC2C9B">
        <w:rPr>
          <w:rFonts w:ascii="Arial" w:hAnsi="Arial" w:cs="Arial"/>
          <w:bCs/>
        </w:rPr>
        <w:t>7</w:t>
      </w:r>
    </w:p>
    <w:p w14:paraId="5BCC40E3" w14:textId="1A532091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D2145F" w:rsidRPr="00D2145F">
        <w:rPr>
          <w:rFonts w:ascii="Arial" w:eastAsia="SimSun" w:hAnsi="Arial" w:cs="Arial"/>
          <w:bCs/>
          <w:lang w:eastAsia="zh-CN"/>
        </w:rPr>
        <w:t>LTE_NR_DC_enh2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302D3C9F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B13ABA">
        <w:rPr>
          <w:rFonts w:ascii="Arial" w:hAnsi="Arial" w:cs="Arial"/>
        </w:rPr>
        <w:t>RAN2</w:t>
      </w:r>
    </w:p>
    <w:p w14:paraId="3110385B" w14:textId="7807BFE8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7805B4">
        <w:rPr>
          <w:rFonts w:ascii="Arial" w:hAnsi="Arial" w:cs="Arial"/>
        </w:rPr>
        <w:t>RAN</w:t>
      </w:r>
      <w:r w:rsidR="009C5AE1">
        <w:rPr>
          <w:rFonts w:ascii="Arial" w:hAnsi="Arial" w:cs="Arial"/>
        </w:rPr>
        <w:t>4</w:t>
      </w:r>
    </w:p>
    <w:p w14:paraId="7F4EE709" w14:textId="30CC8D6F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  <w:r w:rsidR="004412A2">
        <w:rPr>
          <w:rFonts w:ascii="Arial" w:hAnsi="Arial" w:cs="Arial"/>
        </w:rPr>
        <w:t xml:space="preserve">                             RAN1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1114E7BB" w14:textId="77777777" w:rsidR="00591397" w:rsidRDefault="00591397" w:rsidP="00591397">
      <w:pPr>
        <w:jc w:val="both"/>
        <w:rPr>
          <w:rFonts w:ascii="Arial" w:hAnsi="Arial" w:cs="Arial"/>
        </w:rPr>
      </w:pPr>
    </w:p>
    <w:p w14:paraId="3F204D89" w14:textId="74A4D835" w:rsidR="00A3479B" w:rsidRDefault="00C16852" w:rsidP="00591397">
      <w:pPr>
        <w:jc w:val="both"/>
        <w:rPr>
          <w:rFonts w:ascii="Arial" w:hAnsi="Arial" w:cs="Arial"/>
        </w:rPr>
      </w:pPr>
      <w:r w:rsidRPr="00BE6EC6">
        <w:rPr>
          <w:rFonts w:ascii="Arial" w:hAnsi="Arial" w:cs="Arial"/>
        </w:rPr>
        <w:t>RAN2 would like to</w:t>
      </w:r>
      <w:r w:rsidR="007C3824">
        <w:rPr>
          <w:rFonts w:ascii="Arial" w:hAnsi="Arial" w:cs="Arial"/>
        </w:rPr>
        <w:t xml:space="preserve"> inform RAN4 that RAN2 has agreed </w:t>
      </w:r>
      <w:r w:rsidR="00902023">
        <w:rPr>
          <w:rFonts w:ascii="Arial" w:hAnsi="Arial" w:cs="Arial"/>
        </w:rPr>
        <w:t>to</w:t>
      </w:r>
      <w:r w:rsidR="007C3824">
        <w:rPr>
          <w:rFonts w:ascii="Arial" w:hAnsi="Arial" w:cs="Arial"/>
        </w:rPr>
        <w:t xml:space="preserve"> add TCI state </w:t>
      </w:r>
      <w:r w:rsidR="007C3824" w:rsidRPr="007C3824">
        <w:rPr>
          <w:rFonts w:ascii="Arial" w:hAnsi="Arial" w:cs="Arial"/>
        </w:rPr>
        <w:t>information</w:t>
      </w:r>
      <w:r w:rsidR="007C3824">
        <w:rPr>
          <w:rFonts w:ascii="Arial" w:hAnsi="Arial" w:cs="Arial"/>
        </w:rPr>
        <w:t xml:space="preserve"> in </w:t>
      </w:r>
      <w:r w:rsidR="002B4F8B">
        <w:rPr>
          <w:rFonts w:ascii="Arial" w:hAnsi="Arial" w:cs="Arial"/>
        </w:rPr>
        <w:t xml:space="preserve">NR </w:t>
      </w:r>
      <w:r w:rsidR="007C3824">
        <w:rPr>
          <w:rFonts w:ascii="Arial" w:hAnsi="Arial" w:cs="Arial"/>
        </w:rPr>
        <w:t xml:space="preserve">RRC </w:t>
      </w:r>
      <w:r w:rsidR="002B4F8B">
        <w:rPr>
          <w:rFonts w:ascii="Arial" w:hAnsi="Arial" w:cs="Arial"/>
        </w:rPr>
        <w:t xml:space="preserve">IE </w:t>
      </w:r>
      <w:proofErr w:type="spellStart"/>
      <w:r w:rsidR="002B4F8B" w:rsidRPr="006C6024">
        <w:rPr>
          <w:rFonts w:ascii="Arial" w:hAnsi="Arial" w:cs="Arial"/>
          <w:i/>
          <w:iCs/>
        </w:rPr>
        <w:t>ServingCellConfig</w:t>
      </w:r>
      <w:proofErr w:type="spellEnd"/>
      <w:r w:rsidR="002B4F8B">
        <w:rPr>
          <w:rFonts w:ascii="Arial" w:hAnsi="Arial" w:cs="Arial"/>
        </w:rPr>
        <w:t xml:space="preserve"> </w:t>
      </w:r>
      <w:r w:rsidR="002B4F8B" w:rsidRPr="002B4F8B">
        <w:rPr>
          <w:rFonts w:ascii="Arial" w:hAnsi="Arial" w:cs="Arial"/>
        </w:rPr>
        <w:t xml:space="preserve">(to </w:t>
      </w:r>
      <w:proofErr w:type="gramStart"/>
      <w:r w:rsidR="002B4F8B" w:rsidRPr="002B4F8B">
        <w:rPr>
          <w:rFonts w:ascii="Arial" w:hAnsi="Arial" w:cs="Arial"/>
        </w:rPr>
        <w:t>support also</w:t>
      </w:r>
      <w:proofErr w:type="gramEnd"/>
      <w:r w:rsidR="002B4F8B" w:rsidRPr="002B4F8B">
        <w:rPr>
          <w:rFonts w:ascii="Arial" w:hAnsi="Arial" w:cs="Arial"/>
        </w:rPr>
        <w:t xml:space="preserve"> TCI state indication with direct </w:t>
      </w:r>
      <w:proofErr w:type="spellStart"/>
      <w:r w:rsidR="002B4F8B" w:rsidRPr="002B4F8B">
        <w:rPr>
          <w:rFonts w:ascii="Arial" w:hAnsi="Arial" w:cs="Arial"/>
        </w:rPr>
        <w:t>SCell</w:t>
      </w:r>
      <w:proofErr w:type="spellEnd"/>
      <w:r w:rsidR="002B4F8B" w:rsidRPr="002B4F8B">
        <w:rPr>
          <w:rFonts w:ascii="Arial" w:hAnsi="Arial" w:cs="Arial"/>
        </w:rPr>
        <w:t xml:space="preserve"> activation)</w:t>
      </w:r>
      <w:r w:rsidR="007C3824">
        <w:rPr>
          <w:rFonts w:ascii="Arial" w:hAnsi="Arial" w:cs="Arial"/>
        </w:rPr>
        <w:t>.</w:t>
      </w:r>
    </w:p>
    <w:p w14:paraId="09F50F5E" w14:textId="77777777" w:rsidR="007C3824" w:rsidRDefault="007C3824" w:rsidP="00591397">
      <w:pPr>
        <w:jc w:val="both"/>
        <w:rPr>
          <w:rFonts w:ascii="Arial" w:hAnsi="Arial" w:cs="Arial"/>
        </w:rPr>
      </w:pPr>
    </w:p>
    <w:p w14:paraId="7208FC11" w14:textId="77FCC5EC" w:rsidR="00591397" w:rsidRDefault="00253CD5" w:rsidP="0059139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TCI state information could be used for </w:t>
      </w:r>
      <w:proofErr w:type="spellStart"/>
      <w:r>
        <w:rPr>
          <w:rFonts w:ascii="Arial" w:hAnsi="Arial" w:cs="Arial"/>
        </w:rPr>
        <w:t>PSCell</w:t>
      </w:r>
      <w:proofErr w:type="spellEnd"/>
      <w:r>
        <w:rPr>
          <w:rFonts w:ascii="Arial" w:hAnsi="Arial" w:cs="Arial"/>
        </w:rPr>
        <w:t xml:space="preserve"> </w:t>
      </w:r>
      <w:r w:rsidRPr="00253CD5">
        <w:rPr>
          <w:rFonts w:ascii="Arial" w:hAnsi="Arial" w:cs="Arial"/>
        </w:rPr>
        <w:t>activation/de-activation mechanism</w:t>
      </w:r>
      <w:r>
        <w:rPr>
          <w:rFonts w:ascii="Arial" w:hAnsi="Arial" w:cs="Arial"/>
        </w:rPr>
        <w:t xml:space="preserve"> as described in LS </w:t>
      </w:r>
      <w:r w:rsidRPr="00182E7A">
        <w:rPr>
          <w:rFonts w:ascii="Arial" w:hAnsi="Arial" w:cs="Arial"/>
        </w:rPr>
        <w:t>R2-2201711</w:t>
      </w:r>
      <w:r>
        <w:rPr>
          <w:rFonts w:ascii="Arial" w:hAnsi="Arial" w:cs="Arial"/>
        </w:rPr>
        <w:t xml:space="preserve">. In addition to that, it can also be used for direct </w:t>
      </w:r>
      <w:proofErr w:type="spellStart"/>
      <w:r>
        <w:rPr>
          <w:rFonts w:ascii="Arial" w:hAnsi="Arial" w:cs="Arial"/>
        </w:rPr>
        <w:t>SCell</w:t>
      </w:r>
      <w:proofErr w:type="spellEnd"/>
      <w:r>
        <w:rPr>
          <w:rFonts w:ascii="Arial" w:hAnsi="Arial" w:cs="Arial"/>
        </w:rPr>
        <w:t xml:space="preserve"> activation</w:t>
      </w:r>
      <w:r w:rsidR="00E81540">
        <w:rPr>
          <w:rFonts w:ascii="Arial" w:hAnsi="Arial" w:cs="Arial"/>
        </w:rPr>
        <w:t xml:space="preserve"> as requested by RAN4 in LS </w:t>
      </w:r>
      <w:r w:rsidR="00DC1925" w:rsidRPr="00DC1925">
        <w:rPr>
          <w:rFonts w:ascii="Arial" w:hAnsi="Arial" w:cs="Arial"/>
        </w:rPr>
        <w:t xml:space="preserve">R4-2017329 </w:t>
      </w:r>
      <w:r w:rsidR="00E81540">
        <w:rPr>
          <w:rFonts w:ascii="Arial" w:hAnsi="Arial" w:cs="Arial"/>
        </w:rPr>
        <w:t>[2]</w:t>
      </w:r>
      <w:r>
        <w:rPr>
          <w:rFonts w:ascii="Arial" w:hAnsi="Arial" w:cs="Arial"/>
        </w:rPr>
        <w:t xml:space="preserve">. RAN2 </w:t>
      </w:r>
      <w:r w:rsidR="00E81540">
        <w:rPr>
          <w:rFonts w:ascii="Arial" w:hAnsi="Arial" w:cs="Arial"/>
        </w:rPr>
        <w:t xml:space="preserve">understands </w:t>
      </w:r>
      <w:r w:rsidRPr="00253CD5">
        <w:rPr>
          <w:rFonts w:ascii="Arial" w:hAnsi="Arial" w:cs="Arial"/>
        </w:rPr>
        <w:t>whether to define requirements fo</w:t>
      </w:r>
      <w:r>
        <w:rPr>
          <w:rFonts w:ascii="Arial" w:hAnsi="Arial" w:cs="Arial"/>
        </w:rPr>
        <w:t>r</w:t>
      </w:r>
      <w:r w:rsidRPr="00253CD5">
        <w:rPr>
          <w:rFonts w:ascii="Arial" w:hAnsi="Arial" w:cs="Arial"/>
        </w:rPr>
        <w:t xml:space="preserve"> this </w:t>
      </w:r>
      <w:r>
        <w:rPr>
          <w:rFonts w:ascii="Arial" w:hAnsi="Arial" w:cs="Arial"/>
        </w:rPr>
        <w:t xml:space="preserve">is </w:t>
      </w:r>
      <w:r w:rsidRPr="00253CD5">
        <w:rPr>
          <w:rFonts w:ascii="Arial" w:hAnsi="Arial" w:cs="Arial"/>
        </w:rPr>
        <w:t>up to RAN4</w:t>
      </w:r>
      <w:r>
        <w:rPr>
          <w:rFonts w:ascii="Arial" w:hAnsi="Arial" w:cs="Arial"/>
        </w:rPr>
        <w:t>.</w:t>
      </w:r>
    </w:p>
    <w:p w14:paraId="6B898B17" w14:textId="77777777" w:rsidR="00591397" w:rsidRDefault="00591397" w:rsidP="00591397">
      <w:pPr>
        <w:jc w:val="both"/>
        <w:rPr>
          <w:rFonts w:ascii="Arial" w:hAnsi="Arial" w:cs="Arial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3F6C182F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 xml:space="preserve">to </w:t>
      </w:r>
      <w:r w:rsidR="00620E8F" w:rsidRPr="00620E8F">
        <w:rPr>
          <w:rFonts w:ascii="Arial" w:hAnsi="Arial" w:cs="Arial"/>
        </w:rPr>
        <w:t xml:space="preserve">take </w:t>
      </w:r>
      <w:r w:rsidR="00620E8F">
        <w:rPr>
          <w:rFonts w:ascii="Arial" w:hAnsi="Arial" w:cs="Arial"/>
        </w:rPr>
        <w:t>above RAN2</w:t>
      </w:r>
      <w:r w:rsidR="00620E8F" w:rsidRPr="00620E8F">
        <w:rPr>
          <w:rFonts w:ascii="Arial" w:hAnsi="Arial" w:cs="Arial"/>
        </w:rPr>
        <w:t xml:space="preserve"> conclusion</w:t>
      </w:r>
      <w:r w:rsidR="003D4613">
        <w:rPr>
          <w:rFonts w:ascii="Arial" w:hAnsi="Arial" w:cs="Arial"/>
        </w:rPr>
        <w:t>s</w:t>
      </w:r>
      <w:r w:rsidR="00620E8F" w:rsidRPr="00620E8F">
        <w:rPr>
          <w:rFonts w:ascii="Arial" w:hAnsi="Arial" w:cs="Arial"/>
        </w:rPr>
        <w:t xml:space="preserve"> into consideration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07B8C41" w14:textId="079B7543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0EC0642C" w14:textId="5DDB1261" w:rsidR="000E39B6" w:rsidRDefault="000E39B6" w:rsidP="00E81540">
      <w:pPr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 xml:space="preserve">[1] </w:t>
      </w:r>
      <w:r w:rsidR="00182E7A" w:rsidRPr="00182E7A">
        <w:rPr>
          <w:rFonts w:ascii="Arial" w:hAnsi="Arial" w:cs="Arial"/>
          <w:bCs/>
        </w:rPr>
        <w:t>R2-2201711</w:t>
      </w:r>
      <w:r w:rsidR="00182E7A">
        <w:rPr>
          <w:rFonts w:ascii="Arial" w:hAnsi="Arial" w:cs="Arial"/>
          <w:bCs/>
        </w:rPr>
        <w:t>, “</w:t>
      </w:r>
      <w:r w:rsidR="00182E7A" w:rsidRPr="00182E7A">
        <w:rPr>
          <w:rFonts w:ascii="Arial" w:hAnsi="Arial" w:cs="Arial"/>
          <w:bCs/>
        </w:rPr>
        <w:t>LS on efficient activation/de-activation mechanism for one SCG</w:t>
      </w:r>
      <w:r w:rsidR="00182E7A">
        <w:rPr>
          <w:rFonts w:ascii="Arial" w:hAnsi="Arial" w:cs="Arial"/>
          <w:bCs/>
        </w:rPr>
        <w:t>”</w:t>
      </w:r>
      <w:r w:rsidR="008F1B18">
        <w:rPr>
          <w:rFonts w:ascii="Arial" w:hAnsi="Arial" w:cs="Arial"/>
          <w:bCs/>
        </w:rPr>
        <w:t>, RAN2</w:t>
      </w:r>
    </w:p>
    <w:p w14:paraId="5D780ABE" w14:textId="534385CE" w:rsidR="00182E7A" w:rsidRPr="00BE6EC6" w:rsidRDefault="00182E7A" w:rsidP="00E81540">
      <w:pPr>
        <w:ind w:left="1985" w:hanging="1985"/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t>[</w:t>
      </w:r>
      <w:r>
        <w:rPr>
          <w:rFonts w:ascii="Arial" w:hAnsi="Arial" w:cs="Arial"/>
          <w:bCs/>
        </w:rPr>
        <w:t xml:space="preserve">2] </w:t>
      </w:r>
      <w:r w:rsidR="007133D8" w:rsidRPr="007133D8">
        <w:rPr>
          <w:rFonts w:ascii="Arial" w:hAnsi="Arial" w:cs="Arial"/>
          <w:bCs/>
        </w:rPr>
        <w:t xml:space="preserve">R2-2100058 / R4-2017329, “LS on TCI state indication at Direct </w:t>
      </w:r>
      <w:proofErr w:type="spellStart"/>
      <w:r w:rsidR="007133D8" w:rsidRPr="007133D8">
        <w:rPr>
          <w:rFonts w:ascii="Arial" w:hAnsi="Arial" w:cs="Arial"/>
          <w:bCs/>
        </w:rPr>
        <w:t>SCell</w:t>
      </w:r>
      <w:proofErr w:type="spellEnd"/>
      <w:r w:rsidR="007133D8" w:rsidRPr="007133D8">
        <w:rPr>
          <w:rFonts w:ascii="Arial" w:hAnsi="Arial" w:cs="Arial"/>
          <w:bCs/>
        </w:rPr>
        <w:t xml:space="preserve"> activation”, RAN4</w:t>
      </w:r>
    </w:p>
    <w:p w14:paraId="34E1D20C" w14:textId="27AE4045" w:rsidR="00A72F81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62E45EFF" w14:textId="77777777" w:rsidR="00182E7A" w:rsidRPr="00BE6EC6" w:rsidRDefault="00182E7A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0C0373F2" w:rsidR="004F5E63" w:rsidRPr="00BE6EC6" w:rsidRDefault="000E39B6" w:rsidP="004F5E63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F784128" w14:textId="68314FA9" w:rsidR="000F4620" w:rsidRDefault="000F4620" w:rsidP="000F4620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 xml:space="preserve">118-e, </w:t>
      </w:r>
      <w:proofErr w:type="spellStart"/>
      <w:r>
        <w:rPr>
          <w:rFonts w:ascii="Arial" w:hAnsi="Arial" w:cs="Arial"/>
          <w:bCs/>
        </w:rPr>
        <w:t>eMeeting</w:t>
      </w:r>
      <w:proofErr w:type="spellEnd"/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16-27 May. 2022</w:t>
      </w:r>
    </w:p>
    <w:p w14:paraId="755D21B8" w14:textId="6C1CCE5D" w:rsidR="00557061" w:rsidRDefault="00557061" w:rsidP="00557061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 xml:space="preserve">119-e, </w:t>
      </w:r>
      <w:r w:rsidRPr="00557061">
        <w:rPr>
          <w:rFonts w:ascii="Arial" w:hAnsi="Arial" w:cs="Arial"/>
          <w:bCs/>
        </w:rPr>
        <w:t>Toulouse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22-26 Aug. 2022</w:t>
      </w:r>
    </w:p>
    <w:p w14:paraId="2465858F" w14:textId="289D86FC" w:rsidR="001D731A" w:rsidRPr="00557061" w:rsidRDefault="001D731A" w:rsidP="00EC52A7">
      <w:pPr>
        <w:spacing w:after="120"/>
        <w:ind w:left="1985" w:hanging="1985"/>
        <w:rPr>
          <w:rFonts w:ascii="Arial" w:hAnsi="Arial" w:cs="Arial"/>
          <w:bCs/>
        </w:rPr>
      </w:pPr>
    </w:p>
    <w:sectPr w:rsidR="001D731A" w:rsidRPr="0055706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50B29C" w14:textId="77777777" w:rsidR="00822961" w:rsidRDefault="00822961">
      <w:r>
        <w:separator/>
      </w:r>
    </w:p>
  </w:endnote>
  <w:endnote w:type="continuationSeparator" w:id="0">
    <w:p w14:paraId="3C2FD855" w14:textId="77777777" w:rsidR="00822961" w:rsidRDefault="00822961">
      <w:r>
        <w:continuationSeparator/>
      </w:r>
    </w:p>
  </w:endnote>
  <w:endnote w:type="continuationNotice" w:id="1">
    <w:p w14:paraId="7CB7AF64" w14:textId="77777777" w:rsidR="00822961" w:rsidRDefault="008229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1E1CBC" w14:textId="77777777" w:rsidR="00822961" w:rsidRDefault="00822961">
      <w:r>
        <w:separator/>
      </w:r>
    </w:p>
  </w:footnote>
  <w:footnote w:type="continuationSeparator" w:id="0">
    <w:p w14:paraId="5341B080" w14:textId="77777777" w:rsidR="00822961" w:rsidRDefault="00822961">
      <w:r>
        <w:continuationSeparator/>
      </w:r>
    </w:p>
  </w:footnote>
  <w:footnote w:type="continuationNotice" w:id="1">
    <w:p w14:paraId="6680DB7B" w14:textId="77777777" w:rsidR="00822961" w:rsidRDefault="008229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0"/>
  </w:num>
  <w:num w:numId="11">
    <w:abstractNumId w:val="12"/>
  </w:num>
  <w:num w:numId="12">
    <w:abstractNumId w:val="16"/>
  </w:num>
  <w:num w:numId="13">
    <w:abstractNumId w:val="11"/>
  </w:num>
  <w:num w:numId="14">
    <w:abstractNumId w:val="25"/>
  </w:num>
  <w:num w:numId="15">
    <w:abstractNumId w:val="15"/>
  </w:num>
  <w:num w:numId="16">
    <w:abstractNumId w:val="0"/>
  </w:num>
  <w:num w:numId="17">
    <w:abstractNumId w:val="14"/>
  </w:num>
  <w:num w:numId="18">
    <w:abstractNumId w:val="21"/>
  </w:num>
  <w:num w:numId="19">
    <w:abstractNumId w:val="19"/>
  </w:num>
  <w:num w:numId="20">
    <w:abstractNumId w:val="22"/>
  </w:num>
  <w:num w:numId="21">
    <w:abstractNumId w:val="27"/>
  </w:num>
  <w:num w:numId="22">
    <w:abstractNumId w:val="8"/>
  </w:num>
  <w:num w:numId="23">
    <w:abstractNumId w:val="5"/>
  </w:num>
  <w:num w:numId="24">
    <w:abstractNumId w:val="24"/>
  </w:num>
  <w:num w:numId="25">
    <w:abstractNumId w:val="28"/>
  </w:num>
  <w:num w:numId="26">
    <w:abstractNumId w:val="3"/>
  </w:num>
  <w:num w:numId="27">
    <w:abstractNumId w:val="9"/>
  </w:num>
  <w:num w:numId="28">
    <w:abstractNumId w:val="29"/>
  </w:num>
  <w:num w:numId="29">
    <w:abstractNumId w:val="10"/>
  </w:num>
  <w:num w:numId="30">
    <w:abstractNumId w:val="26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523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5EC7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0F4620"/>
    <w:rsid w:val="00102A88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5AE"/>
    <w:rsid w:val="00156A09"/>
    <w:rsid w:val="00156C2E"/>
    <w:rsid w:val="00160096"/>
    <w:rsid w:val="00160771"/>
    <w:rsid w:val="001651C8"/>
    <w:rsid w:val="00166ADF"/>
    <w:rsid w:val="00170F59"/>
    <w:rsid w:val="00173037"/>
    <w:rsid w:val="00175B1D"/>
    <w:rsid w:val="0017659C"/>
    <w:rsid w:val="0018100A"/>
    <w:rsid w:val="00181DD1"/>
    <w:rsid w:val="00182E7A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0F58"/>
    <w:rsid w:val="001B1884"/>
    <w:rsid w:val="001B78F5"/>
    <w:rsid w:val="001B7C3A"/>
    <w:rsid w:val="001C1E4A"/>
    <w:rsid w:val="001C3B35"/>
    <w:rsid w:val="001D0237"/>
    <w:rsid w:val="001D731A"/>
    <w:rsid w:val="001D76A6"/>
    <w:rsid w:val="001E0674"/>
    <w:rsid w:val="001E6385"/>
    <w:rsid w:val="001E6975"/>
    <w:rsid w:val="001E7AFB"/>
    <w:rsid w:val="001F0569"/>
    <w:rsid w:val="00202C50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3AE1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3CD5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4F8B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69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C6671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3709A"/>
    <w:rsid w:val="004412A2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2802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57061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397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A9C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96EE8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37C2"/>
    <w:rsid w:val="006C4D78"/>
    <w:rsid w:val="006C6024"/>
    <w:rsid w:val="006C6F86"/>
    <w:rsid w:val="006D4A85"/>
    <w:rsid w:val="006D569A"/>
    <w:rsid w:val="006D73DF"/>
    <w:rsid w:val="006E00F5"/>
    <w:rsid w:val="006E0193"/>
    <w:rsid w:val="006E02CA"/>
    <w:rsid w:val="006E2F9E"/>
    <w:rsid w:val="006E4532"/>
    <w:rsid w:val="006E636D"/>
    <w:rsid w:val="006E741C"/>
    <w:rsid w:val="006F0384"/>
    <w:rsid w:val="006F6E2C"/>
    <w:rsid w:val="006F7D44"/>
    <w:rsid w:val="006F7EA3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33D8"/>
    <w:rsid w:val="00715AB3"/>
    <w:rsid w:val="00715AC9"/>
    <w:rsid w:val="0071719E"/>
    <w:rsid w:val="007235FE"/>
    <w:rsid w:val="00723FE9"/>
    <w:rsid w:val="0073482B"/>
    <w:rsid w:val="00741A30"/>
    <w:rsid w:val="00745EEB"/>
    <w:rsid w:val="007517B6"/>
    <w:rsid w:val="00751C89"/>
    <w:rsid w:val="007537E6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3824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22961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96F80"/>
    <w:rsid w:val="008A196A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8F1B18"/>
    <w:rsid w:val="0090076E"/>
    <w:rsid w:val="00902023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61528"/>
    <w:rsid w:val="00973C69"/>
    <w:rsid w:val="009741F7"/>
    <w:rsid w:val="00977095"/>
    <w:rsid w:val="0098187C"/>
    <w:rsid w:val="00982B3B"/>
    <w:rsid w:val="009841C6"/>
    <w:rsid w:val="00985BA9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B6CE8"/>
    <w:rsid w:val="009C0E55"/>
    <w:rsid w:val="009C26A4"/>
    <w:rsid w:val="009C5AE1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120"/>
    <w:rsid w:val="009E728B"/>
    <w:rsid w:val="009E738E"/>
    <w:rsid w:val="009F13CD"/>
    <w:rsid w:val="00A0010C"/>
    <w:rsid w:val="00A020EE"/>
    <w:rsid w:val="00A03249"/>
    <w:rsid w:val="00A0438D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6AD9"/>
    <w:rsid w:val="00AE7506"/>
    <w:rsid w:val="00AF23C2"/>
    <w:rsid w:val="00AF5806"/>
    <w:rsid w:val="00AF6965"/>
    <w:rsid w:val="00AF6FCE"/>
    <w:rsid w:val="00AF7DE6"/>
    <w:rsid w:val="00B00C63"/>
    <w:rsid w:val="00B02254"/>
    <w:rsid w:val="00B024AF"/>
    <w:rsid w:val="00B05D7B"/>
    <w:rsid w:val="00B07896"/>
    <w:rsid w:val="00B10B1D"/>
    <w:rsid w:val="00B13ABA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46F5A"/>
    <w:rsid w:val="00B50026"/>
    <w:rsid w:val="00B50DD3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37E"/>
    <w:rsid w:val="00C454C1"/>
    <w:rsid w:val="00C45E21"/>
    <w:rsid w:val="00C45E96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2C9B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11CBC"/>
    <w:rsid w:val="00D17391"/>
    <w:rsid w:val="00D17DD8"/>
    <w:rsid w:val="00D204FA"/>
    <w:rsid w:val="00D2145F"/>
    <w:rsid w:val="00D2203C"/>
    <w:rsid w:val="00D22581"/>
    <w:rsid w:val="00D2456C"/>
    <w:rsid w:val="00D25D37"/>
    <w:rsid w:val="00D30F6D"/>
    <w:rsid w:val="00D3161C"/>
    <w:rsid w:val="00D3193D"/>
    <w:rsid w:val="00D36D53"/>
    <w:rsid w:val="00D41198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AB0"/>
    <w:rsid w:val="00DA1C64"/>
    <w:rsid w:val="00DA2C1E"/>
    <w:rsid w:val="00DA4369"/>
    <w:rsid w:val="00DA46E7"/>
    <w:rsid w:val="00DC1925"/>
    <w:rsid w:val="00DC2499"/>
    <w:rsid w:val="00DC6040"/>
    <w:rsid w:val="00DC6342"/>
    <w:rsid w:val="00DC6FCD"/>
    <w:rsid w:val="00DD1951"/>
    <w:rsid w:val="00DE28BE"/>
    <w:rsid w:val="00DE6C42"/>
    <w:rsid w:val="00DE6F15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1540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6D34"/>
    <w:rsid w:val="00EC2ABB"/>
    <w:rsid w:val="00EC52A7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298"/>
    <w:rsid w:val="00F76F31"/>
    <w:rsid w:val="00F81D93"/>
    <w:rsid w:val="00F8347F"/>
    <w:rsid w:val="00F85CB3"/>
    <w:rsid w:val="00F862B4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787"/>
    <w:rsid w:val="00FB7C21"/>
    <w:rsid w:val="00FC01CE"/>
    <w:rsid w:val="00FC3C45"/>
    <w:rsid w:val="00FC5FE4"/>
    <w:rsid w:val="00FC6EC1"/>
    <w:rsid w:val="00FD1724"/>
    <w:rsid w:val="00FD2267"/>
    <w:rsid w:val="00FD2F50"/>
    <w:rsid w:val="00FD3EDB"/>
    <w:rsid w:val="00FD4B5B"/>
    <w:rsid w:val="00FD4F24"/>
    <w:rsid w:val="00FD5902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cp:lastModifiedBy>MediaTek (Felix)</cp:lastModifiedBy>
  <cp:revision>7</cp:revision>
  <dcterms:created xsi:type="dcterms:W3CDTF">2022-03-10T06:36:00Z</dcterms:created>
  <dcterms:modified xsi:type="dcterms:W3CDTF">2022-03-11T01:29:00Z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